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cs="Times New Roman"/>
        </w:rPr>
      </w:pPr>
      <w:r>
        <w:rPr/>
        <mc:AlternateContent>
          <mc:Choice Requires="wps">
            <w:drawing>
              <wp:anchor behindDoc="0" distT="0" distB="0" distL="0" distR="0" simplePos="0" locked="0" layoutInCell="1" allowOverlap="1" relativeHeight="2">
                <wp:simplePos x="0" y="0"/>
                <wp:positionH relativeFrom="column">
                  <wp:posOffset>3916680</wp:posOffset>
                </wp:positionH>
                <wp:positionV relativeFrom="paragraph">
                  <wp:posOffset>-467360</wp:posOffset>
                </wp:positionV>
                <wp:extent cx="1908175" cy="1908175"/>
                <wp:effectExtent l="0" t="0" r="0" b="0"/>
                <wp:wrapNone/>
                <wp:docPr id="1" name="Forme1"/>
                <a:graphic xmlns:a="http://schemas.openxmlformats.org/drawingml/2006/main">
                  <a:graphicData uri="http://schemas.openxmlformats.org/drawingml/2006/picture">
                    <pic:pic xmlns:pic="http://schemas.openxmlformats.org/drawingml/2006/picture">
                      <pic:nvPicPr>
                        <pic:cNvPr id="0" name="Forme1" descr=""/>
                        <pic:cNvPicPr/>
                      </pic:nvPicPr>
                      <pic:blipFill>
                        <a:blip r:embed="rId2"/>
                        <a:stretch/>
                      </pic:blipFill>
                      <pic:spPr>
                        <a:xfrm>
                          <a:off x="0" y="0"/>
                          <a:ext cx="1907640" cy="1907640"/>
                        </a:xfrm>
                        <a:prstGeom prst="rect">
                          <a:avLst/>
                        </a:prstGeom>
                        <a:ln>
                          <a:noFill/>
                        </a:ln>
                      </pic:spPr>
                    </pic:pic>
                  </a:graphicData>
                </a:graphic>
              </wp:anchor>
            </w:drawing>
          </mc:Choice>
          <mc:Fallback>
            <w:pict>
              <v:rect id="shape_0" ID="Forme1" stroked="f" style="position:absolute;margin-left:308.4pt;margin-top:-36.8pt;width:150.15pt;height:150.15pt">
                <v:imagedata r:id="rId2" o:detectmouseclick="t"/>
                <w10:wrap type="none"/>
                <v:stroke color="#3465a4" joinstyle="round" endcap="flat"/>
              </v:rect>
            </w:pict>
          </mc:Fallback>
        </mc:AlternateContent>
        <mc:AlternateContent>
          <mc:Choice Requires="wps">
            <w:drawing>
              <wp:anchor behindDoc="0" distT="0" distB="0" distL="0" distR="0" simplePos="0" locked="0" layoutInCell="1" allowOverlap="1" relativeHeight="3">
                <wp:simplePos x="0" y="0"/>
                <wp:positionH relativeFrom="column">
                  <wp:posOffset>14605</wp:posOffset>
                </wp:positionH>
                <wp:positionV relativeFrom="paragraph">
                  <wp:posOffset>-339725</wp:posOffset>
                </wp:positionV>
                <wp:extent cx="3362325" cy="1420495"/>
                <wp:effectExtent l="0" t="0" r="0" b="0"/>
                <wp:wrapNone/>
                <wp:docPr id="2" name="Forme2"/>
                <a:graphic xmlns:a="http://schemas.openxmlformats.org/drawingml/2006/main">
                  <a:graphicData uri="http://schemas.openxmlformats.org/drawingml/2006/picture">
                    <pic:pic xmlns:pic="http://schemas.openxmlformats.org/drawingml/2006/picture">
                      <pic:nvPicPr>
                        <pic:cNvPr id="1" name="Forme2" descr=""/>
                        <pic:cNvPicPr/>
                      </pic:nvPicPr>
                      <pic:blipFill>
                        <a:blip r:embed="rId3"/>
                        <a:stretch/>
                      </pic:blipFill>
                      <pic:spPr>
                        <a:xfrm>
                          <a:off x="0" y="0"/>
                          <a:ext cx="3361680" cy="1419840"/>
                        </a:xfrm>
                        <a:prstGeom prst="rect">
                          <a:avLst/>
                        </a:prstGeom>
                        <a:ln>
                          <a:noFill/>
                        </a:ln>
                      </pic:spPr>
                    </pic:pic>
                  </a:graphicData>
                </a:graphic>
              </wp:anchor>
            </w:drawing>
          </mc:Choice>
          <mc:Fallback>
            <w:pict>
              <v:rect id="shape_0" ID="Forme2" stroked="f" style="position:absolute;margin-left:1.15pt;margin-top:-26.75pt;width:264.65pt;height:111.75pt">
                <v:imagedata r:id="rId3" o:detectmouseclick="t"/>
                <w10:wrap type="none"/>
                <v:stroke color="#3465a4" joinstyle="round" endcap="flat"/>
              </v:rect>
            </w:pict>
          </mc:Fallback>
        </mc:AlternateContent>
      </w:r>
    </w:p>
    <w:p>
      <w:pPr>
        <w:pStyle w:val="Normal"/>
        <w:rPr>
          <w:rFonts w:ascii="Times New Roman" w:hAnsi="Times New Roman" w:cs="Times New Roman"/>
        </w:rPr>
      </w:pPr>
      <w:r>
        <w:rPr/>
      </w:r>
    </w:p>
    <w:p>
      <w:pPr>
        <w:pStyle w:val="Normal"/>
        <w:rPr>
          <w:rFonts w:ascii="Times New Roman" w:hAnsi="Times New Roman" w:cs="Times New Roman"/>
        </w:rPr>
      </w:pPr>
      <w:r>
        <w:rPr/>
      </w:r>
    </w:p>
    <w:p>
      <w:pPr>
        <w:pStyle w:val="Normal"/>
        <w:rPr>
          <w:rFonts w:ascii="Times New Roman" w:hAnsi="Times New Roman" w:cs="Times New Roman"/>
        </w:rPr>
      </w:pPr>
      <w:r>
        <w:rPr/>
      </w:r>
    </w:p>
    <w:p>
      <w:pPr>
        <w:pStyle w:val="Normal"/>
        <w:rPr>
          <w:rFonts w:ascii="Times New Roman" w:hAnsi="Times New Roman" w:cs="Times New Roman"/>
        </w:rPr>
      </w:pPr>
      <w:r>
        <w:rPr/>
      </w:r>
    </w:p>
    <w:p>
      <w:pPr>
        <w:pStyle w:val="Normal"/>
        <w:rPr>
          <w:rFonts w:ascii="Times New Roman" w:hAnsi="Times New Roman" w:cs="Times New Roman"/>
        </w:rPr>
      </w:pPr>
      <w:r>
        <w:rPr/>
      </w:r>
    </w:p>
    <w:p>
      <w:pPr>
        <w:pStyle w:val="Normal"/>
        <w:rPr>
          <w:rFonts w:ascii="Times New Roman" w:hAnsi="Times New Roman" w:cs="Times New Roman"/>
        </w:rPr>
      </w:pPr>
      <w:r>
        <w:rPr/>
      </w:r>
    </w:p>
    <w:p>
      <w:pPr>
        <w:pStyle w:val="Normal"/>
        <w:rPr>
          <w:rFonts w:ascii="Times New Roman" w:hAnsi="Times New Roman" w:cs="Times New Roman"/>
        </w:rPr>
      </w:pPr>
      <w:r>
        <w:rPr/>
      </w:r>
    </w:p>
    <w:p>
      <w:pPr>
        <w:pStyle w:val="Normal"/>
        <w:rPr>
          <w:rFonts w:ascii="Times New Roman" w:hAnsi="Times New Roman" w:cs="Times New Roman"/>
        </w:rPr>
      </w:pPr>
      <w:r>
        <w:rPr>
          <w:rFonts w:cs="Times New Roman" w:ascii="Times New Roman" w:hAnsi="Times New Roman"/>
        </w:rPr>
        <w:t>Conf. ITL 2025</w:t>
      </w:r>
    </w:p>
    <w:p>
      <w:pPr>
        <w:pStyle w:val="Normal"/>
        <w:rPr>
          <w:rFonts w:ascii="Times New Roman" w:hAnsi="Times New Roman" w:cs="Times New Roman"/>
        </w:rPr>
      </w:pPr>
      <w:r>
        <w:rPr>
          <w:rFonts w:cs="Times New Roman" w:ascii="Times New Roman" w:hAnsi="Times New Roman"/>
        </w:rPr>
        <w:t>11 juin 2025 – 15h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textAlignment w:val="baseline"/>
        <w:rPr>
          <w:rFonts w:ascii="Times New Roman" w:hAnsi="Times New Roman" w:eastAsia="Times New Roman" w:cs="Times New Roman"/>
          <w:b/>
          <w:b/>
          <w:bCs/>
          <w:color w:val="000000"/>
        </w:rPr>
      </w:pPr>
      <w:r>
        <w:rPr>
          <w:rFonts w:eastAsia="Times New Roman" w:cs="Times New Roman" w:ascii="Times New Roman" w:hAnsi="Times New Roman"/>
          <w:b/>
          <w:bCs/>
          <w:color w:val="000000"/>
        </w:rPr>
        <w:t>« Les 170 ans des thermes de Royat (1855-2025) »</w:t>
      </w:r>
    </w:p>
    <w:p>
      <w:pPr>
        <w:pStyle w:val="Normal"/>
        <w:spacing w:before="0" w:after="0"/>
        <w:contextualSpacing/>
        <w:jc w:val="both"/>
        <w:rPr>
          <w:rFonts w:ascii="Times New Roman" w:hAnsi="Times New Roman" w:cs="Times New Roman"/>
        </w:rPr>
      </w:pPr>
      <w:r>
        <w:rPr>
          <w:rFonts w:cs="Times New Roman" w:ascii="Times New Roman" w:hAnsi="Times New Roman"/>
        </w:rPr>
      </w:r>
    </w:p>
    <w:p>
      <w:pPr>
        <w:pStyle w:val="Normal"/>
        <w:spacing w:before="0" w:after="0"/>
        <w:ind w:firstLine="708"/>
        <w:contextualSpacing/>
        <w:jc w:val="both"/>
        <w:rPr>
          <w:rFonts w:ascii="Times New Roman" w:hAnsi="Times New Roman" w:cs="Times New Roman"/>
        </w:rPr>
      </w:pPr>
      <w:r>
        <w:rPr>
          <w:rFonts w:cs="Times New Roman" w:ascii="Times New Roman" w:hAnsi="Times New Roman"/>
          <w:color w:val="000000" w:themeColor="text1"/>
        </w:rPr>
        <w:t xml:space="preserve">Petit bourg organisé autour d’un prieuré médiéval, le village de Royat connaît un développement important au cours du </w:t>
      </w:r>
      <w:r>
        <w:rPr>
          <w:rFonts w:cs="Times New Roman" w:ascii="Times New Roman" w:hAnsi="Times New Roman"/>
          <w:smallCaps/>
          <w:color w:val="000000" w:themeColor="text1"/>
        </w:rPr>
        <w:t>xix</w:t>
      </w:r>
      <w:r>
        <w:rPr>
          <w:rFonts w:cs="Times New Roman" w:ascii="Times New Roman" w:hAnsi="Times New Roman"/>
          <w:color w:val="000000" w:themeColor="text1"/>
          <w:vertAlign w:val="superscript"/>
        </w:rPr>
        <w:t>e</w:t>
      </w:r>
      <w:r>
        <w:rPr>
          <w:rFonts w:cs="Times New Roman" w:ascii="Times New Roman" w:hAnsi="Times New Roman"/>
          <w:color w:val="000000" w:themeColor="text1"/>
        </w:rPr>
        <w:t xml:space="preserve"> siècle et, plus particulièrement, dans la seconde moitié du siècle. </w:t>
      </w:r>
      <w:r>
        <w:rPr>
          <w:rFonts w:cs="Times New Roman" w:ascii="Times New Roman" w:hAnsi="Times New Roman"/>
        </w:rPr>
        <w:t xml:space="preserve">Après la découverte de la source César (1822), pas moins de neuf campagnes archéologiques permettent la mise au jour de « bouillons d’eaux chaudes » : la </w:t>
      </w:r>
      <w:r>
        <w:rPr>
          <w:rFonts w:cs="Times New Roman" w:ascii="Times New Roman" w:hAnsi="Times New Roman"/>
          <w:i/>
          <w:iCs/>
        </w:rPr>
        <w:t>Grande source</w:t>
      </w:r>
      <w:r>
        <w:rPr>
          <w:rFonts w:cs="Times New Roman" w:ascii="Times New Roman" w:hAnsi="Times New Roman"/>
        </w:rPr>
        <w:t xml:space="preserve"> (1843) devenue </w:t>
      </w:r>
      <w:r>
        <w:rPr>
          <w:rFonts w:cs="Times New Roman" w:ascii="Times New Roman" w:hAnsi="Times New Roman"/>
          <w:i/>
          <w:iCs/>
        </w:rPr>
        <w:t>source Eugénie</w:t>
      </w:r>
      <w:r>
        <w:rPr>
          <w:rFonts w:cs="Times New Roman" w:ascii="Times New Roman" w:hAnsi="Times New Roman"/>
        </w:rPr>
        <w:t xml:space="preserve"> après la visite de l’impératrice (1862), la </w:t>
      </w:r>
      <w:r>
        <w:rPr>
          <w:rFonts w:cs="Times New Roman" w:ascii="Times New Roman" w:hAnsi="Times New Roman"/>
          <w:i/>
          <w:iCs/>
        </w:rPr>
        <w:t>source Saint-Victor</w:t>
      </w:r>
      <w:r>
        <w:rPr>
          <w:rFonts w:cs="Times New Roman" w:ascii="Times New Roman" w:hAnsi="Times New Roman"/>
        </w:rPr>
        <w:t xml:space="preserve"> (1874), la </w:t>
      </w:r>
      <w:r>
        <w:rPr>
          <w:rFonts w:cs="Times New Roman" w:ascii="Times New Roman" w:hAnsi="Times New Roman"/>
          <w:i/>
          <w:iCs/>
        </w:rPr>
        <w:t>source Saint-Mart</w:t>
      </w:r>
      <w:r>
        <w:rPr>
          <w:rFonts w:cs="Times New Roman" w:ascii="Times New Roman" w:hAnsi="Times New Roman"/>
        </w:rPr>
        <w:t xml:space="preserve"> (1876) et la </w:t>
      </w:r>
      <w:r>
        <w:rPr>
          <w:rFonts w:cs="Times New Roman" w:ascii="Times New Roman" w:hAnsi="Times New Roman"/>
          <w:i/>
          <w:iCs/>
        </w:rPr>
        <w:t>source Velleda</w:t>
      </w:r>
      <w:r>
        <w:rPr>
          <w:rFonts w:cs="Times New Roman" w:ascii="Times New Roman" w:hAnsi="Times New Roman"/>
        </w:rPr>
        <w:t xml:space="preserve"> (1882). </w:t>
      </w:r>
    </w:p>
    <w:p>
      <w:pPr>
        <w:pStyle w:val="Normal"/>
        <w:spacing w:before="0" w:after="0"/>
        <w:ind w:firstLine="708"/>
        <w:contextualSpacing/>
        <w:jc w:val="both"/>
        <w:rPr>
          <w:rFonts w:ascii="Times New Roman" w:hAnsi="Times New Roman" w:cs="Times New Roman"/>
        </w:rPr>
      </w:pPr>
      <w:r>
        <w:rPr>
          <w:rFonts w:cs="Times New Roman" w:ascii="Times New Roman" w:hAnsi="Times New Roman"/>
        </w:rPr>
        <w:t xml:space="preserve">La fièvre thermale gagne l’esprit des royadères qui sollicitent l’architecte Agis Léon Ledru pour l’édification d’un grand établissement de bains. Bâtis à partir du 9 août 1852, les thermes ouvrent partiellement leurs portes au public en mai 1854 et en totalité en mai 1855, ce qui n’est pas sans conséquence sur l’aménagement du territoire. Dès lors, les acteurs publics comme les privés se lancent dans une vaste campagne d’urbanisme visant à faire de Royat la station thermale « idéale ». Nous chercherons à savoir en quoi l’ouverture, il y a 170 ans, d’un établissement balnéaire a façonné Royat et assuré sa renommée internationale. </w:t>
      </w:r>
    </w:p>
    <w:p>
      <w:pPr>
        <w:pStyle w:val="Normal"/>
        <w:spacing w:before="0" w:after="0"/>
        <w:contextualSpacing/>
        <w:jc w:val="both"/>
        <w:rPr>
          <w:rFonts w:ascii="Times New Roman" w:hAnsi="Times New Roman" w:cs="Times New Roman"/>
        </w:rPr>
      </w:pPr>
      <w:r>
        <w:rPr>
          <w:rFonts w:cs="Times New Roman" w:ascii="Times New Roman" w:hAnsi="Times New Roman"/>
        </w:rPr>
      </w:r>
    </w:p>
    <w:p>
      <w:pPr>
        <w:pStyle w:val="Normal"/>
        <w:spacing w:before="0" w:after="0"/>
        <w:contextualSpacing/>
        <w:jc w:val="both"/>
        <w:rPr>
          <w:rFonts w:ascii="Times New Roman" w:hAnsi="Times New Roman" w:cs="Times New Roman"/>
        </w:rPr>
      </w:pPr>
      <w:r>
        <w:rPr>
          <w:rFonts w:cs="Times New Roman" w:ascii="Times New Roman" w:hAnsi="Times New Roman"/>
        </w:rPr>
      </w:r>
    </w:p>
    <w:p>
      <w:pPr>
        <w:pStyle w:val="Normal"/>
        <w:shd w:val="clear" w:color="auto" w:fill="FFFFFF"/>
        <w:textAlignment w:val="baseline"/>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Web"/>
        <w:shd w:val="clear" w:color="auto" w:fill="FFFFFF"/>
        <w:spacing w:beforeAutospacing="0" w:before="0" w:afterAutospacing="0" w:after="0"/>
        <w:jc w:val="right"/>
        <w:rPr>
          <w:rFonts w:ascii="Segoe UI" w:hAnsi="Segoe UI" w:cs="Segoe UI"/>
          <w:color w:val="242424"/>
          <w:sz w:val="20"/>
          <w:szCs w:val="20"/>
        </w:rPr>
      </w:pPr>
      <w:r>
        <w:rPr>
          <w:rFonts w:cs="Segoe UI" w:ascii="Garamond" w:hAnsi="Garamond"/>
          <w:color w:val="000000"/>
          <w:sz w:val="20"/>
          <w:szCs w:val="20"/>
        </w:rPr>
        <w:t>Johan PICOT</w:t>
      </w:r>
    </w:p>
    <w:p>
      <w:pPr>
        <w:pStyle w:val="NormalWeb"/>
        <w:shd w:val="clear" w:color="auto" w:fill="FFFFFF"/>
        <w:spacing w:beforeAutospacing="0" w:before="0" w:afterAutospacing="0" w:after="0"/>
        <w:jc w:val="right"/>
        <w:rPr>
          <w:rFonts w:ascii="Segoe UI" w:hAnsi="Segoe UI" w:cs="Segoe UI"/>
          <w:color w:val="242424"/>
          <w:sz w:val="20"/>
          <w:szCs w:val="20"/>
        </w:rPr>
      </w:pPr>
      <w:bookmarkStart w:id="0" w:name="OLE_LINK1"/>
      <w:bookmarkEnd w:id="0"/>
      <w:r>
        <w:rPr>
          <w:rFonts w:cs="Segoe UI" w:ascii="Garamond" w:hAnsi="Garamond"/>
          <w:i/>
          <w:iCs/>
          <w:color w:val="000000"/>
          <w:sz w:val="20"/>
          <w:szCs w:val="20"/>
        </w:rPr>
        <w:t>Historien consultant</w:t>
      </w:r>
    </w:p>
    <w:p>
      <w:pPr>
        <w:pStyle w:val="NormalWeb"/>
        <w:shd w:val="clear" w:color="auto" w:fill="FFFFFF"/>
        <w:spacing w:beforeAutospacing="0" w:before="0" w:afterAutospacing="0" w:after="0"/>
        <w:jc w:val="right"/>
        <w:rPr>
          <w:rFonts w:ascii="Segoe UI" w:hAnsi="Segoe UI" w:cs="Segoe UI"/>
          <w:color w:val="242424"/>
          <w:sz w:val="20"/>
          <w:szCs w:val="20"/>
        </w:rPr>
      </w:pPr>
      <w:r>
        <w:rPr>
          <w:rFonts w:cs="Segoe UI" w:ascii="Garamond" w:hAnsi="Garamond"/>
          <w:i/>
          <w:iCs/>
          <w:color w:val="000000"/>
          <w:sz w:val="20"/>
          <w:szCs w:val="20"/>
        </w:rPr>
        <w:t>"Arca Communis", SIRET n° 821 492 022 000 24</w:t>
      </w:r>
    </w:p>
    <w:p>
      <w:pPr>
        <w:pStyle w:val="NormalWeb"/>
        <w:shd w:val="clear" w:color="auto" w:fill="FFFFFF"/>
        <w:spacing w:beforeAutospacing="0" w:before="0" w:afterAutospacing="0" w:after="0"/>
        <w:jc w:val="right"/>
        <w:rPr>
          <w:rFonts w:ascii="Segoe UI" w:hAnsi="Segoe UI" w:cs="Segoe UI"/>
          <w:color w:val="242424"/>
          <w:sz w:val="20"/>
          <w:szCs w:val="20"/>
        </w:rPr>
      </w:pPr>
      <w:r>
        <w:rPr>
          <w:rFonts w:cs="Segoe UI" w:ascii="Garamond" w:hAnsi="Garamond"/>
          <w:i/>
          <w:iCs/>
          <w:color w:val="000000"/>
          <w:sz w:val="20"/>
          <w:szCs w:val="20"/>
          <w:shd w:fill="FFFFFF" w:val="clear"/>
        </w:rPr>
        <w:t>Docteur en histoire (Université Jean Moulin-Lyon 3) ;</w:t>
      </w:r>
    </w:p>
    <w:p>
      <w:pPr>
        <w:pStyle w:val="NormalWeb"/>
        <w:shd w:val="clear" w:color="auto" w:fill="FFFFFF"/>
        <w:spacing w:beforeAutospacing="0" w:before="0" w:afterAutospacing="0" w:after="0"/>
        <w:jc w:val="right"/>
        <w:rPr>
          <w:rFonts w:ascii="Segoe UI" w:hAnsi="Segoe UI" w:cs="Segoe UI"/>
          <w:color w:val="242424"/>
          <w:sz w:val="20"/>
          <w:szCs w:val="20"/>
        </w:rPr>
      </w:pPr>
      <w:r>
        <w:rPr>
          <w:rFonts w:cs="Segoe UI" w:ascii="Garamond" w:hAnsi="Garamond"/>
          <w:i/>
          <w:iCs/>
          <w:color w:val="000000"/>
          <w:sz w:val="20"/>
          <w:szCs w:val="20"/>
          <w:shd w:fill="FFFFFF" w:val="clear"/>
        </w:rPr>
        <w:t xml:space="preserve">Chercheur associé à l’Institut Ausonius </w:t>
        <w:noBreakHyphen/>
        <w:t xml:space="preserve"> UMR 5607 (Université Bordeaux-Montaigne) ;</w:t>
      </w:r>
    </w:p>
    <w:p>
      <w:pPr>
        <w:pStyle w:val="NormalWeb"/>
        <w:shd w:val="clear" w:color="auto" w:fill="FFFFFF"/>
        <w:spacing w:beforeAutospacing="0" w:before="0" w:afterAutospacing="0" w:after="0"/>
        <w:jc w:val="right"/>
        <w:rPr>
          <w:rFonts w:ascii="Segoe UI" w:hAnsi="Segoe UI" w:cs="Segoe UI"/>
          <w:color w:val="242424"/>
          <w:sz w:val="20"/>
          <w:szCs w:val="20"/>
        </w:rPr>
      </w:pPr>
      <w:r>
        <w:rPr>
          <w:rFonts w:cs="Segoe UI" w:ascii="Garamond" w:hAnsi="Garamond"/>
          <w:i/>
          <w:iCs/>
          <w:color w:val="000000"/>
          <w:sz w:val="20"/>
          <w:szCs w:val="20"/>
        </w:rPr>
        <w:t>Directeur d'édition de l'Académie des Sciences, Belles-Lettres et Arts de Clermont-Fd.</w:t>
      </w:r>
    </w:p>
    <w:p>
      <w:pPr>
        <w:pStyle w:val="NormalWeb"/>
        <w:shd w:val="clear" w:color="auto" w:fill="FFFFFF"/>
        <w:spacing w:beforeAutospacing="0" w:before="0" w:afterAutospacing="0" w:after="0"/>
        <w:jc w:val="right"/>
        <w:rPr>
          <w:rFonts w:ascii="Segoe UI" w:hAnsi="Segoe UI" w:cs="Segoe UI"/>
          <w:color w:val="242424"/>
          <w:sz w:val="20"/>
          <w:szCs w:val="20"/>
        </w:rPr>
      </w:pPr>
      <w:r>
        <w:rPr>
          <w:rFonts w:cs="Segoe UI" w:ascii="Garamond" w:hAnsi="Garamond"/>
          <w:i/>
          <w:iCs/>
          <w:color w:val="000000"/>
          <w:sz w:val="20"/>
          <w:szCs w:val="20"/>
        </w:rPr>
        <w:t>06 63 38 24 95</w:t>
      </w:r>
    </w:p>
    <w:p>
      <w:pPr>
        <w:pStyle w:val="Normal"/>
        <w:spacing w:before="0" w:after="0"/>
        <w:contextualSpacing/>
        <w:jc w:val="both"/>
        <w:rPr/>
      </w:pPr>
      <w:r>
        <w:rPr/>
      </w:r>
    </w:p>
    <w:sectPr>
      <w:type w:val="nextPage"/>
      <w:pgSz w:w="11906" w:h="16838"/>
      <w:pgMar w:left="1417" w:right="1417" w:header="0" w:top="1417" w:footer="0" w:bottom="141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Liberation Sans">
    <w:altName w:val="Arial"/>
    <w:charset w:val="00"/>
    <w:family w:val="swiss"/>
    <w:pitch w:val="variable"/>
  </w:font>
  <w:font w:name="Garamond">
    <w:charset w:val="00"/>
    <w:family w:val="roman"/>
    <w:pitch w:val="variable"/>
  </w:font>
  <w:font w:name="Segoe UI">
    <w:charset w:val="00"/>
    <w:family w:val="roman"/>
    <w:pitch w:val="variable"/>
  </w:font>
</w:fonts>
</file>

<file path=word/settings.xml><?xml version="1.0" encoding="utf-8"?>
<w:settings xmlns:w="http://schemas.openxmlformats.org/wordprocessingml/2006/main">
  <w:zoom w:percent="9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fr-FR"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4"/>
        <w:szCs w:val="24"/>
        <w:lang w:val="fr-FR" w:eastAsia="fr-FR"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jc w:val="left"/>
    </w:pPr>
    <w:rPr>
      <w:rFonts w:ascii="Cambria" w:hAnsi="Cambria" w:eastAsia="ＭＳ 明朝" w:cs="" w:asciiTheme="minorHAnsi" w:cstheme="minorBidi" w:eastAsiaTheme="minorEastAsia" w:hAnsiTheme="minorHAnsi"/>
      <w:color w:val="auto"/>
      <w:sz w:val="24"/>
      <w:szCs w:val="24"/>
      <w:lang w:val="fr-FR" w:eastAsia="fr-FR" w:bidi="ar-SA"/>
    </w:rPr>
  </w:style>
  <w:style w:type="character" w:styleId="DefaultParagraphFont" w:default="1">
    <w:name w:val="Default Paragraph Font"/>
    <w:uiPriority w:val="1"/>
    <w:semiHidden/>
    <w:unhideWhenUsed/>
    <w:qFormat/>
    <w:rPr/>
  </w:style>
  <w:style w:type="character" w:styleId="Appleconvertedspace" w:customStyle="1">
    <w:name w:val="apple-converted-space"/>
    <w:basedOn w:val="DefaultParagraphFont"/>
    <w:qFormat/>
    <w:rsid w:val="003f1b33"/>
    <w:rPr/>
  </w:style>
  <w:style w:type="character" w:styleId="Xappleconvertedspace" w:customStyle="1">
    <w:name w:val="x_apple-converted-space"/>
    <w:basedOn w:val="DefaultParagraphFont"/>
    <w:qFormat/>
    <w:rsid w:val="003f1b33"/>
    <w:rPr/>
  </w:style>
  <w:style w:type="character" w:styleId="Footnotereference">
    <w:name w:val="footnote reference"/>
    <w:basedOn w:val="DefaultParagraphFont"/>
    <w:uiPriority w:val="99"/>
    <w:unhideWhenUsed/>
    <w:qFormat/>
    <w:rsid w:val="004f5315"/>
    <w:rPr>
      <w:vertAlign w:val="superscript"/>
    </w:rPr>
  </w:style>
  <w:style w:type="paragraph" w:styleId="Titre">
    <w:name w:val="Titre"/>
    <w:basedOn w:val="Normal"/>
    <w:next w:val="Corpsdetexte"/>
    <w:qFormat/>
    <w:pPr>
      <w:keepNext/>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Web">
    <w:name w:val="Normal (Web)"/>
    <w:basedOn w:val="Normal"/>
    <w:uiPriority w:val="99"/>
    <w:unhideWhenUsed/>
    <w:qFormat/>
    <w:rsid w:val="00bf48cc"/>
    <w:pPr>
      <w:spacing w:beforeAutospacing="1" w:afterAutospacing="1"/>
    </w:pPr>
    <w:rPr>
      <w:rFonts w:ascii="Times New Roman" w:hAnsi="Times New Roman" w:eastAsia="Times New Roman" w:cs="Times New Roman"/>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Application>LibreOffice/5.2.6.2$Windows_x86 LibreOffice_project/a3100ed2409ebf1c212f5048fbe377c281438fdc</Application>
  <Pages>1</Pages>
  <Words>249</Words>
  <Characters>1308</Characters>
  <CharactersWithSpaces>1548</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2021-07-12T15:57:00Z</dcterms:created>
  <dc:creator>Johan Picot</dc:creator>
  <dc:description/>
  <dc:language>fr-FR</dc:language>
  <cp:lastModifiedBy/>
  <dcterms:modified xsi:type="dcterms:W3CDTF">2025-03-17T11:15:48Z</dcterms:modified>
  <cp:revision>76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